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CE0A" w14:textId="77777777" w:rsidR="00CB0644" w:rsidRPr="00072394" w:rsidRDefault="00CB0644" w:rsidP="00CB0644">
      <w:pPr>
        <w:pStyle w:val="a3"/>
        <w:adjustRightInd w:val="0"/>
        <w:snapToGrid w:val="0"/>
        <w:spacing w:after="0" w:line="360" w:lineRule="auto"/>
        <w:ind w:left="482" w:hangingChars="200" w:hanging="482"/>
        <w:jc w:val="center"/>
        <w:rPr>
          <w:rFonts w:ascii="Arial" w:hAnsi="Arial" w:cs="Arial" w:hint="default"/>
          <w:sz w:val="24"/>
          <w:szCs w:val="24"/>
        </w:rPr>
      </w:pPr>
      <w:bookmarkStart w:id="0" w:name="_Hlk187067561"/>
      <w:r w:rsidRPr="00072394">
        <w:rPr>
          <w:rFonts w:ascii="Arial" w:hAnsi="Arial" w:cs="Arial" w:hint="default"/>
          <w:b/>
          <w:bCs/>
          <w:sz w:val="24"/>
          <w:szCs w:val="24"/>
        </w:rPr>
        <w:t>S1 Table</w:t>
      </w:r>
      <w:r w:rsidRPr="00072394">
        <w:rPr>
          <w:rFonts w:ascii="Arial" w:hAnsi="Arial" w:cs="Arial" w:hint="default"/>
          <w:sz w:val="24"/>
          <w:szCs w:val="24"/>
        </w:rPr>
        <w:t xml:space="preserve"> DEGs on the top10 KEGG pathway</w:t>
      </w:r>
    </w:p>
    <w:tbl>
      <w:tblPr>
        <w:tblW w:w="7596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2551"/>
        <w:gridCol w:w="2551"/>
      </w:tblGrid>
      <w:tr w:rsidR="00CB0644" w:rsidRPr="00072394" w14:paraId="2658F1C7" w14:textId="77777777" w:rsidTr="000C4A4B">
        <w:trPr>
          <w:trHeight w:val="283"/>
          <w:jc w:val="center"/>
        </w:trPr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D082FC6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2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spellStart"/>
            <w:r w:rsidRPr="00072394">
              <w:rPr>
                <w:rFonts w:ascii="Arial" w:hAnsi="Arial" w:cs="Arial"/>
                <w:b/>
                <w:bCs/>
                <w:color w:val="000000"/>
                <w:sz w:val="24"/>
              </w:rPr>
              <w:t>Passway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E1D861C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2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72394">
              <w:rPr>
                <w:rFonts w:ascii="Arial" w:hAnsi="Arial" w:cs="Arial"/>
                <w:b/>
                <w:bCs/>
                <w:color w:val="000000"/>
                <w:sz w:val="24"/>
              </w:rPr>
              <w:t>Up-regulated gene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DAECF71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2"/>
              <w:jc w:val="center"/>
              <w:textAlignment w:val="top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72394">
              <w:rPr>
                <w:rFonts w:ascii="Arial" w:hAnsi="Arial" w:cs="Arial"/>
                <w:b/>
                <w:bCs/>
                <w:color w:val="000000"/>
                <w:sz w:val="24"/>
              </w:rPr>
              <w:t>Down-regulated gene</w:t>
            </w:r>
          </w:p>
        </w:tc>
      </w:tr>
      <w:tr w:rsidR="00CB0644" w:rsidRPr="00072394" w14:paraId="0C011D07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3D401CF6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Biosynthesis of unsaturated fatty acids</w:t>
            </w:r>
          </w:p>
        </w:tc>
        <w:tc>
          <w:tcPr>
            <w:tcW w:w="2551" w:type="dxa"/>
            <w:vAlign w:val="center"/>
          </w:tcPr>
          <w:p w14:paraId="5FA3CFA6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/</w:t>
            </w:r>
          </w:p>
        </w:tc>
        <w:tc>
          <w:tcPr>
            <w:tcW w:w="2551" w:type="dxa"/>
            <w:vAlign w:val="center"/>
          </w:tcPr>
          <w:p w14:paraId="2A61FBAE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Acaa1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b,Hacd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2,Elovl3,Elovl6,Acot4,Acot1,4732463B04Rik</w:t>
            </w:r>
          </w:p>
        </w:tc>
      </w:tr>
      <w:tr w:rsidR="00CB0644" w:rsidRPr="00072394" w14:paraId="75D0601B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21C34EB7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Insulin resistance</w:t>
            </w:r>
          </w:p>
        </w:tc>
        <w:tc>
          <w:tcPr>
            <w:tcW w:w="2551" w:type="dxa"/>
            <w:vAlign w:val="center"/>
          </w:tcPr>
          <w:p w14:paraId="5CAF8CA8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Prkag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2,Ppargc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1a,Foxo1,Ppp1r3c</w:t>
            </w:r>
          </w:p>
        </w:tc>
        <w:tc>
          <w:tcPr>
            <w:tcW w:w="2551" w:type="dxa"/>
            <w:vAlign w:val="center"/>
          </w:tcPr>
          <w:p w14:paraId="55B4027D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Srebf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1,Slc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27a2,Mtor,Prkab1,Gys2,Prkce</w:t>
            </w:r>
          </w:p>
        </w:tc>
      </w:tr>
      <w:tr w:rsidR="00CB0644" w:rsidRPr="00072394" w14:paraId="68EB7603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5603DED3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MAPK signaling pathway</w:t>
            </w:r>
          </w:p>
        </w:tc>
        <w:tc>
          <w:tcPr>
            <w:tcW w:w="2551" w:type="dxa"/>
            <w:vAlign w:val="center"/>
          </w:tcPr>
          <w:p w14:paraId="6D881798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Hspb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1,Gadd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45g,Angpt1,Pdgfd,Dusp8,Gm9817,Cacng6,Hsp25-ps1,Hspa1b</w:t>
            </w:r>
          </w:p>
        </w:tc>
        <w:tc>
          <w:tcPr>
            <w:tcW w:w="2551" w:type="dxa"/>
            <w:vAlign w:val="center"/>
          </w:tcPr>
          <w:p w14:paraId="18FE2559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Kit,Dusp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6,Tab1,Dusp4,Dusp5,Cd14,Tgfbr3l</w:t>
            </w:r>
          </w:p>
        </w:tc>
      </w:tr>
      <w:tr w:rsidR="00CB0644" w:rsidRPr="00072394" w14:paraId="08270315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2C1B3126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Circadian rhythm</w:t>
            </w:r>
          </w:p>
        </w:tc>
        <w:tc>
          <w:tcPr>
            <w:tcW w:w="2551" w:type="dxa"/>
            <w:vAlign w:val="center"/>
          </w:tcPr>
          <w:p w14:paraId="2A395366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Npas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2,Prkag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74414CAA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Rorc,Per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3,Prkab1,Gm43401</w:t>
            </w:r>
          </w:p>
        </w:tc>
      </w:tr>
      <w:tr w:rsidR="00CB0644" w:rsidRPr="00072394" w14:paraId="48CB85C0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5BADF0B4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Fatty acid elongation</w:t>
            </w:r>
          </w:p>
        </w:tc>
        <w:tc>
          <w:tcPr>
            <w:tcW w:w="2551" w:type="dxa"/>
            <w:vAlign w:val="center"/>
          </w:tcPr>
          <w:p w14:paraId="3AF80C72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/</w:t>
            </w:r>
          </w:p>
        </w:tc>
        <w:tc>
          <w:tcPr>
            <w:tcW w:w="2551" w:type="dxa"/>
            <w:vAlign w:val="center"/>
          </w:tcPr>
          <w:p w14:paraId="59025032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Hacd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2,Elovl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3,Elovl6,Acot4,Acot1,4732463B04Rik</w:t>
            </w:r>
          </w:p>
        </w:tc>
      </w:tr>
      <w:tr w:rsidR="00CB0644" w:rsidRPr="00072394" w14:paraId="454A9C01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42D6ECB1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AMPK signaling pathway</w:t>
            </w:r>
          </w:p>
        </w:tc>
        <w:tc>
          <w:tcPr>
            <w:tcW w:w="2551" w:type="dxa"/>
            <w:vAlign w:val="center"/>
          </w:tcPr>
          <w:p w14:paraId="4A432940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Pfkfb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3,Prkag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2,Ppargc1a,Foxo1</w:t>
            </w:r>
          </w:p>
        </w:tc>
        <w:tc>
          <w:tcPr>
            <w:tcW w:w="2551" w:type="dxa"/>
            <w:vAlign w:val="center"/>
          </w:tcPr>
          <w:p w14:paraId="0D926C1F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Srebf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1,Mtor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,Camkk2,Prkab1,Gys2</w:t>
            </w:r>
          </w:p>
        </w:tc>
      </w:tr>
      <w:tr w:rsidR="00CB0644" w:rsidRPr="00072394" w14:paraId="652162CA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5A4FBBC9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Alcoholic liver disease</w:t>
            </w:r>
          </w:p>
        </w:tc>
        <w:tc>
          <w:tcPr>
            <w:tcW w:w="2551" w:type="dxa"/>
            <w:vAlign w:val="center"/>
          </w:tcPr>
          <w:p w14:paraId="3FE3FDAA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Prkag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2,Ppargc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1a,Foxo1</w:t>
            </w:r>
          </w:p>
        </w:tc>
        <w:tc>
          <w:tcPr>
            <w:tcW w:w="2551" w:type="dxa"/>
            <w:vAlign w:val="center"/>
          </w:tcPr>
          <w:p w14:paraId="28872EF6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Srebf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1,Tab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1,Camkk2,Prkab1,Cd14,Tgfbr3l</w:t>
            </w:r>
          </w:p>
        </w:tc>
      </w:tr>
      <w:tr w:rsidR="00CB0644" w:rsidRPr="00072394" w14:paraId="4359D9AD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4CD7CDE7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Longevity regulating pathway</w:t>
            </w:r>
          </w:p>
        </w:tc>
        <w:tc>
          <w:tcPr>
            <w:tcW w:w="2551" w:type="dxa"/>
            <w:vAlign w:val="center"/>
          </w:tcPr>
          <w:p w14:paraId="0E02EDB0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Prkag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2,Ppargc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1a,Foxo1</w:t>
            </w:r>
          </w:p>
        </w:tc>
        <w:tc>
          <w:tcPr>
            <w:tcW w:w="2551" w:type="dxa"/>
            <w:vAlign w:val="center"/>
          </w:tcPr>
          <w:p w14:paraId="21653974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Adcy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3,Mtor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,Camkk2,Prkab1</w:t>
            </w:r>
          </w:p>
        </w:tc>
      </w:tr>
      <w:tr w:rsidR="00CB0644" w:rsidRPr="00072394" w14:paraId="643164DB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6900A713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Apelin signaling pathway</w:t>
            </w:r>
          </w:p>
        </w:tc>
        <w:tc>
          <w:tcPr>
            <w:tcW w:w="2551" w:type="dxa"/>
            <w:vAlign w:val="center"/>
          </w:tcPr>
          <w:p w14:paraId="59166CF3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Prkag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2;Ppargc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1a;Klf2</w:t>
            </w:r>
          </w:p>
        </w:tc>
        <w:tc>
          <w:tcPr>
            <w:tcW w:w="2551" w:type="dxa"/>
            <w:vAlign w:val="center"/>
          </w:tcPr>
          <w:p w14:paraId="4C5E9971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Adcy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3,Pik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3r5,Adcy10,Mtor,Prkab1,Apln,Aplnr,Prkce</w:t>
            </w:r>
          </w:p>
        </w:tc>
      </w:tr>
      <w:tr w:rsidR="00CB0644" w:rsidRPr="00072394" w14:paraId="4056EF28" w14:textId="77777777" w:rsidTr="000C4A4B">
        <w:trPr>
          <w:trHeight w:val="283"/>
          <w:jc w:val="center"/>
        </w:trPr>
        <w:tc>
          <w:tcPr>
            <w:tcW w:w="2494" w:type="dxa"/>
            <w:vAlign w:val="center"/>
          </w:tcPr>
          <w:p w14:paraId="55F71979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 w:rsidRPr="00072394">
              <w:rPr>
                <w:rFonts w:ascii="Arial" w:hAnsi="Arial" w:cs="Arial"/>
                <w:color w:val="000000"/>
                <w:sz w:val="24"/>
              </w:rPr>
              <w:t>Adipocytokine signaling pathway</w:t>
            </w:r>
          </w:p>
        </w:tc>
        <w:tc>
          <w:tcPr>
            <w:tcW w:w="2551" w:type="dxa"/>
            <w:vAlign w:val="center"/>
          </w:tcPr>
          <w:p w14:paraId="039910BA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Prkag</w:t>
            </w: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2,Ppargc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1a</w:t>
            </w:r>
          </w:p>
        </w:tc>
        <w:tc>
          <w:tcPr>
            <w:tcW w:w="2551" w:type="dxa"/>
            <w:vAlign w:val="center"/>
          </w:tcPr>
          <w:p w14:paraId="222353EA" w14:textId="77777777" w:rsidR="00CB0644" w:rsidRPr="00072394" w:rsidRDefault="00CB0644" w:rsidP="000C4A4B">
            <w:pPr>
              <w:adjustRightInd w:val="0"/>
              <w:snapToGrid w:val="0"/>
              <w:spacing w:after="0" w:line="360" w:lineRule="auto"/>
              <w:ind w:firstLine="480"/>
              <w:jc w:val="center"/>
              <w:textAlignment w:val="top"/>
              <w:rPr>
                <w:rFonts w:ascii="Arial" w:hAnsi="Arial" w:cs="Arial"/>
                <w:i/>
                <w:iCs/>
                <w:color w:val="000000"/>
                <w:sz w:val="24"/>
              </w:rPr>
            </w:pPr>
            <w:proofErr w:type="gramStart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Mtor,Camkk</w:t>
            </w:r>
            <w:proofErr w:type="gramEnd"/>
            <w:r w:rsidRPr="00072394">
              <w:rPr>
                <w:rFonts w:ascii="Arial" w:hAnsi="Arial" w:cs="Arial"/>
                <w:i/>
                <w:iCs/>
                <w:color w:val="000000"/>
                <w:sz w:val="24"/>
              </w:rPr>
              <w:t>2,Prkab1,Acsl3</w:t>
            </w:r>
          </w:p>
        </w:tc>
      </w:tr>
      <w:bookmarkEnd w:id="0"/>
    </w:tbl>
    <w:p w14:paraId="62219F61" w14:textId="77777777" w:rsidR="00CB0644" w:rsidRPr="00072394" w:rsidRDefault="00CB0644" w:rsidP="00CB0644">
      <w:pPr>
        <w:adjustRightInd w:val="0"/>
        <w:snapToGrid w:val="0"/>
        <w:spacing w:after="0" w:line="360" w:lineRule="auto"/>
        <w:ind w:firstLine="480"/>
        <w:rPr>
          <w:rFonts w:ascii="Arial" w:eastAsia="宋体" w:hAnsi="Arial" w:cs="Arial"/>
          <w:sz w:val="24"/>
        </w:rPr>
      </w:pPr>
    </w:p>
    <w:p w14:paraId="27FA0F45" w14:textId="077BD026" w:rsidR="00115CD2" w:rsidRPr="00CB0644" w:rsidRDefault="00CB0644" w:rsidP="00CB0644">
      <w:pPr>
        <w:adjustRightInd w:val="0"/>
        <w:snapToGrid w:val="0"/>
        <w:spacing w:after="0" w:line="360" w:lineRule="auto"/>
        <w:ind w:firstLine="480"/>
        <w:rPr>
          <w:rFonts w:ascii="Arial" w:eastAsia="宋体" w:hAnsi="Arial" w:cs="Arial" w:hint="eastAsia"/>
          <w:sz w:val="24"/>
        </w:rPr>
      </w:pPr>
      <w:r w:rsidRPr="00072394">
        <w:rPr>
          <w:rFonts w:ascii="Arial" w:eastAsia="宋体" w:hAnsi="Arial" w:cs="Arial"/>
          <w:sz w:val="24"/>
        </w:rPr>
        <w:t>Differentially Expressed Genes (DEGs); Kyoto Encyclopedia of Genes and Genomes (KEGG); Mitogen-activated Protein Kinases (MAPK); Adenosine 5'-</w:t>
      </w:r>
      <w:r w:rsidRPr="00072394">
        <w:rPr>
          <w:rFonts w:ascii="Arial" w:eastAsia="宋体" w:hAnsi="Arial" w:cs="Arial"/>
          <w:sz w:val="24"/>
        </w:rPr>
        <w:lastRenderedPageBreak/>
        <w:t>Monophosphate-activated Protein Kinase (AMPK)</w:t>
      </w:r>
    </w:p>
    <w:sectPr w:rsidR="00115CD2" w:rsidRPr="00CB064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DBCF" w14:textId="77777777" w:rsidR="00F5742D" w:rsidRDefault="00CB064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1384" w14:textId="77777777" w:rsidR="00F5742D" w:rsidRDefault="00CB064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28F2" w14:textId="77777777" w:rsidR="00F5742D" w:rsidRDefault="00CB0644">
    <w:pPr>
      <w:pStyle w:val="a6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0EF6" w14:textId="77777777" w:rsidR="00F5742D" w:rsidRDefault="00CB0644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D538" w14:textId="77777777" w:rsidR="00F5742D" w:rsidRDefault="00CB0644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20D2" w14:textId="77777777" w:rsidR="00F5742D" w:rsidRDefault="00CB064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44"/>
    <w:rsid w:val="00115CD2"/>
    <w:rsid w:val="00C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FD95"/>
  <w15:chartTrackingRefBased/>
  <w15:docId w15:val="{418F5020-E763-466C-8739-113CC5A6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644"/>
    <w:pPr>
      <w:widowControl w:val="0"/>
      <w:spacing w:after="160" w:line="278" w:lineRule="auto"/>
      <w:ind w:firstLineChars="200" w:firstLine="200"/>
      <w:jc w:val="both"/>
    </w:pPr>
    <w:rPr>
      <w:rFonts w:ascii="Times New Roman" w:eastAsia="Times New Roman" w:hAnsi="Times New Roman" w:cs="黑体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论文"/>
    <w:qFormat/>
    <w:rsid w:val="00CB0644"/>
    <w:pPr>
      <w:spacing w:after="160" w:line="278" w:lineRule="auto"/>
      <w:jc w:val="both"/>
    </w:pPr>
    <w:rPr>
      <w:rFonts w:ascii="Times New Roman" w:eastAsia="宋体" w:hAnsi="Times New Roman" w:cs="Times New Roman" w:hint="eastAsia"/>
      <w:kern w:val="0"/>
      <w:szCs w:val="20"/>
    </w:rPr>
  </w:style>
  <w:style w:type="paragraph" w:styleId="a4">
    <w:name w:val="header"/>
    <w:basedOn w:val="a"/>
    <w:link w:val="a5"/>
    <w:rsid w:val="00CB0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0644"/>
    <w:rPr>
      <w:rFonts w:ascii="Times New Roman" w:eastAsia="Times New Roman" w:hAnsi="Times New Roman" w:cs="黑体"/>
      <w:sz w:val="18"/>
      <w:szCs w:val="18"/>
    </w:rPr>
  </w:style>
  <w:style w:type="paragraph" w:styleId="a6">
    <w:name w:val="footer"/>
    <w:basedOn w:val="a"/>
    <w:link w:val="a7"/>
    <w:rsid w:val="00CB06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0644"/>
    <w:rPr>
      <w:rFonts w:ascii="Times New Roman" w:eastAsia="Times New Roman" w:hAnsi="Times New Roman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He</dc:creator>
  <cp:keywords/>
  <dc:description/>
  <cp:lastModifiedBy>Jackie He</cp:lastModifiedBy>
  <cp:revision>1</cp:revision>
  <dcterms:created xsi:type="dcterms:W3CDTF">2025-07-11T03:44:00Z</dcterms:created>
  <dcterms:modified xsi:type="dcterms:W3CDTF">2025-07-11T03:45:00Z</dcterms:modified>
</cp:coreProperties>
</file>